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6837FED" w14:textId="77777777" w:rsidR="00BB089C" w:rsidRDefault="00FF7D59" w:rsidP="00CC11B3">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DAWN</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2E7D452D" w14:textId="3FB8C3BF" w:rsidR="002B2FCC" w:rsidRPr="00CC11B3" w:rsidRDefault="00CC11B3" w:rsidP="00CC11B3">
      <w:pPr>
        <w:tabs>
          <w:tab w:val="left" w:pos="3240"/>
          <w:tab w:val="left" w:pos="4230"/>
        </w:tabs>
        <w:jc w:val="center"/>
        <w:rPr>
          <w:rFonts w:asciiTheme="minorHAnsi" w:hAnsiTheme="minorHAnsi" w:cstheme="minorHAnsi"/>
          <w:b/>
          <w:sz w:val="52"/>
          <w:szCs w:val="52"/>
        </w:rPr>
      </w:pPr>
      <w:r>
        <w:rPr>
          <w:rFonts w:asciiTheme="minorHAnsi" w:hAnsiTheme="minorHAnsi" w:cstheme="minorHAnsi"/>
          <w:b/>
          <w:color w:val="FF0000"/>
          <w:sz w:val="52"/>
          <w:szCs w:val="52"/>
        </w:rPr>
        <w:t xml:space="preserve">BATI AKDENİZ &amp; </w:t>
      </w:r>
      <w:r w:rsidR="00BB089C">
        <w:rPr>
          <w:rFonts w:asciiTheme="minorHAnsi" w:hAnsiTheme="minorHAnsi" w:cstheme="minorHAnsi"/>
          <w:b/>
          <w:color w:val="FF0000"/>
          <w:sz w:val="52"/>
          <w:szCs w:val="52"/>
        </w:rPr>
        <w:t>ADRİYATİK’TE 6 ÜLKE</w:t>
      </w:r>
      <w:r>
        <w:rPr>
          <w:rFonts w:asciiTheme="minorHAnsi" w:hAnsiTheme="minorHAnsi" w:cstheme="minorHAnsi"/>
          <w:b/>
          <w:color w:val="FF0000"/>
          <w:sz w:val="52"/>
          <w:szCs w:val="52"/>
        </w:rPr>
        <w:br/>
      </w:r>
      <w:r w:rsidRPr="00CC11B3">
        <w:rPr>
          <w:rFonts w:asciiTheme="minorHAnsi" w:hAnsiTheme="minorHAnsi" w:cstheme="minorHAnsi"/>
          <w:b/>
          <w:sz w:val="34"/>
          <w:szCs w:val="34"/>
          <w:highlight w:val="cyan"/>
        </w:rPr>
        <w:t xml:space="preserve">İSPANYA – FRANSA – İTALYA – YUNANİSTAN – </w:t>
      </w:r>
      <w:proofErr w:type="gramStart"/>
      <w:r w:rsidRPr="00CC11B3">
        <w:rPr>
          <w:rFonts w:asciiTheme="minorHAnsi" w:hAnsiTheme="minorHAnsi" w:cstheme="minorHAnsi"/>
          <w:b/>
          <w:sz w:val="34"/>
          <w:szCs w:val="34"/>
          <w:highlight w:val="cyan"/>
        </w:rPr>
        <w:t>HIRVATİSTAN -</w:t>
      </w:r>
      <w:proofErr w:type="gramEnd"/>
      <w:r w:rsidRPr="00CC11B3">
        <w:rPr>
          <w:rFonts w:asciiTheme="minorHAnsi" w:hAnsiTheme="minorHAnsi" w:cstheme="minorHAnsi"/>
          <w:b/>
          <w:sz w:val="34"/>
          <w:szCs w:val="34"/>
          <w:highlight w:val="cyan"/>
        </w:rPr>
        <w:t xml:space="preserve"> SLOVENYA</w:t>
      </w:r>
    </w:p>
    <w:p w14:paraId="2BB27E83" w14:textId="00A1889D" w:rsidR="00CC11B3" w:rsidRDefault="00CC11B3" w:rsidP="00695C26">
      <w:pPr>
        <w:jc w:val="center"/>
        <w:rPr>
          <w:rFonts w:asciiTheme="minorHAnsi" w:hAnsiTheme="minorHAnsi" w:cstheme="minorHAnsi"/>
          <w:b/>
          <w:noProof/>
          <w:sz w:val="28"/>
          <w:szCs w:val="28"/>
        </w:rPr>
      </w:pPr>
      <w:r>
        <w:rPr>
          <w:rFonts w:asciiTheme="minorHAnsi" w:hAnsiTheme="minorHAnsi" w:cstheme="minorHAnsi"/>
          <w:b/>
          <w:noProof/>
          <w:sz w:val="28"/>
          <w:szCs w:val="28"/>
        </w:rPr>
        <w:t>Barcelona – Marsilya – Cannes – Livorno – Roma</w:t>
      </w:r>
    </w:p>
    <w:p w14:paraId="0E99F94B" w14:textId="1F917E99" w:rsidR="00A4727C" w:rsidRDefault="00CC11B3" w:rsidP="00695C26">
      <w:pPr>
        <w:jc w:val="center"/>
        <w:rPr>
          <w:rFonts w:ascii="Calibri" w:hAnsi="Calibri"/>
          <w:b/>
          <w:bCs/>
          <w:iCs/>
          <w:color w:val="000000"/>
          <w:sz w:val="28"/>
          <w:szCs w:val="28"/>
        </w:rPr>
      </w:pPr>
      <w:r>
        <w:rPr>
          <w:rFonts w:asciiTheme="minorHAnsi" w:hAnsiTheme="minorHAnsi" w:cstheme="minorHAnsi"/>
          <w:b/>
          <w:noProof/>
          <w:sz w:val="28"/>
          <w:szCs w:val="28"/>
        </w:rPr>
        <w:t>Napoli – Messina – Corfu – Dubrovnik – Koper - Venedik</w:t>
      </w:r>
    </w:p>
    <w:p w14:paraId="282A2DA4" w14:textId="68FCA8D5" w:rsidR="00636B84" w:rsidRDefault="00D06F9F" w:rsidP="00636B84">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CC11B3">
        <w:rPr>
          <w:rFonts w:asciiTheme="minorHAnsi" w:hAnsiTheme="minorHAnsi" w:cstheme="minorHAnsi"/>
          <w:b/>
          <w:color w:val="FF0000"/>
          <w:sz w:val="35"/>
          <w:szCs w:val="35"/>
        </w:rPr>
        <w:t>04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 xml:space="preserve">10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11FAE888"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CC11B3">
        <w:rPr>
          <w:rFonts w:asciiTheme="minorHAnsi" w:hAnsiTheme="minorHAnsi" w:cstheme="minorHAnsi"/>
          <w:b/>
        </w:rPr>
        <w:t>04.11</w:t>
      </w:r>
      <w:r w:rsidR="002E6581">
        <w:rPr>
          <w:rFonts w:asciiTheme="minorHAnsi" w:hAnsiTheme="minorHAnsi" w:cstheme="minorHAnsi"/>
          <w:b/>
        </w:rPr>
        <w:t>.2023</w:t>
      </w:r>
      <w:r w:rsidR="00FE30A2">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proofErr w:type="gramStart"/>
      <w:r>
        <w:rPr>
          <w:rFonts w:asciiTheme="minorHAnsi" w:hAnsiTheme="minorHAnsi" w:cstheme="minorHAnsi"/>
          <w:b/>
        </w:rPr>
        <w:t xml:space="preserve">– </w:t>
      </w:r>
      <w:r w:rsidR="00CC11B3">
        <w:rPr>
          <w:rFonts w:asciiTheme="minorHAnsi" w:hAnsiTheme="minorHAnsi" w:cstheme="minorHAnsi"/>
          <w:b/>
        </w:rPr>
        <w:t xml:space="preserve"> BARCELONA</w:t>
      </w:r>
      <w:proofErr w:type="gramEnd"/>
      <w:r w:rsidR="00CC11B3">
        <w:rPr>
          <w:rFonts w:asciiTheme="minorHAnsi" w:hAnsiTheme="minorHAnsi" w:cstheme="minorHAnsi"/>
          <w:b/>
        </w:rPr>
        <w:t>, İSPANYA</w:t>
      </w:r>
    </w:p>
    <w:p w14:paraId="7050DC08" w14:textId="05A4CA73"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6E13BC">
        <w:rPr>
          <w:rFonts w:asciiTheme="minorHAnsi" w:hAnsiTheme="minorHAnsi" w:cstheme="minorHAnsi"/>
        </w:rPr>
        <w:t>10</w:t>
      </w:r>
      <w:r w:rsidRPr="0044796D">
        <w:rPr>
          <w:rFonts w:asciiTheme="minorHAnsi" w:hAnsiTheme="minorHAnsi" w:cstheme="minorHAnsi"/>
        </w:rPr>
        <w:t>.</w:t>
      </w:r>
      <w:r w:rsidR="006E13BC">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046D74">
        <w:rPr>
          <w:rFonts w:asciiTheme="minorHAnsi" w:hAnsiTheme="minorHAnsi" w:cstheme="minorHAnsi"/>
        </w:rPr>
        <w:t>467</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046D74">
        <w:rPr>
          <w:rFonts w:asciiTheme="minorHAnsi" w:hAnsiTheme="minorHAnsi" w:cstheme="minorHAnsi"/>
        </w:rPr>
        <w:t>12</w:t>
      </w:r>
      <w:r w:rsidRPr="0044796D">
        <w:rPr>
          <w:rFonts w:asciiTheme="minorHAnsi" w:hAnsiTheme="minorHAnsi" w:cstheme="minorHAnsi"/>
        </w:rPr>
        <w:t>.</w:t>
      </w:r>
      <w:r w:rsidR="00046D74">
        <w:rPr>
          <w:rFonts w:asciiTheme="minorHAnsi" w:hAnsiTheme="minorHAnsi" w:cstheme="minorHAnsi"/>
        </w:rPr>
        <w:t>3</w:t>
      </w:r>
      <w:r w:rsidR="008F54FB">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046D74">
        <w:rPr>
          <w:rFonts w:asciiTheme="minorHAnsi" w:hAnsiTheme="minorHAnsi" w:cstheme="minorHAnsi"/>
        </w:rPr>
        <w:t>a</w:t>
      </w:r>
      <w:r w:rsidRPr="001C0C20">
        <w:rPr>
          <w:rFonts w:asciiTheme="minorHAnsi" w:hAnsiTheme="minorHAnsi" w:cstheme="minorHAnsi"/>
        </w:rPr>
        <w:t xml:space="preserve"> </w:t>
      </w:r>
      <w:r w:rsidR="00046D74">
        <w:rPr>
          <w:rFonts w:asciiTheme="minorHAnsi" w:hAnsiTheme="minorHAnsi" w:cstheme="minorHAnsi"/>
        </w:rPr>
        <w:t>Barcelona’ya</w:t>
      </w:r>
      <w:r>
        <w:rPr>
          <w:rFonts w:asciiTheme="minorHAnsi" w:hAnsiTheme="minorHAnsi" w:cstheme="minorHAnsi"/>
        </w:rPr>
        <w:t xml:space="preserve"> hareket. Yerel saat ile </w:t>
      </w:r>
      <w:r w:rsidR="0026217D">
        <w:rPr>
          <w:rFonts w:asciiTheme="minorHAnsi" w:hAnsiTheme="minorHAnsi" w:cstheme="minorHAnsi"/>
        </w:rPr>
        <w:t>1</w:t>
      </w:r>
      <w:r w:rsidR="00046D74">
        <w:rPr>
          <w:rFonts w:asciiTheme="minorHAnsi" w:hAnsiTheme="minorHAnsi" w:cstheme="minorHAnsi"/>
        </w:rPr>
        <w:t>4</w:t>
      </w:r>
      <w:r w:rsidR="005074C5">
        <w:rPr>
          <w:rFonts w:asciiTheme="minorHAnsi" w:hAnsiTheme="minorHAnsi" w:cstheme="minorHAnsi"/>
        </w:rPr>
        <w:t>.</w:t>
      </w:r>
      <w:r w:rsidR="00046D74">
        <w:rPr>
          <w:rFonts w:asciiTheme="minorHAnsi" w:hAnsiTheme="minorHAnsi" w:cstheme="minorHAnsi"/>
        </w:rPr>
        <w:t>1</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046D74">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w:t>
      </w:r>
      <w:r w:rsidR="00046D74">
        <w:rPr>
          <w:rFonts w:asciiTheme="minorHAnsi" w:hAnsiTheme="minorHAnsi" w:cstheme="minorHAnsi"/>
        </w:rPr>
        <w:t>8</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F9514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4300D488" w:rsidR="00CC11B3" w:rsidRPr="008A53C7" w:rsidRDefault="00CC11B3" w:rsidP="00CC11B3">
            <w:pPr>
              <w:rPr>
                <w:rFonts w:ascii="Calibri" w:hAnsi="Calibri"/>
                <w:b/>
                <w:color w:val="000000"/>
              </w:rPr>
            </w:pPr>
            <w:r>
              <w:rPr>
                <w:rFonts w:ascii="Calibri" w:hAnsi="Calibri"/>
                <w:b/>
                <w:color w:val="000000"/>
              </w:rPr>
              <w:t xml:space="preserve">Marsilya, </w:t>
            </w:r>
            <w:proofErr w:type="spellStart"/>
            <w:r>
              <w:rPr>
                <w:rFonts w:ascii="Calibri" w:hAnsi="Calibri"/>
                <w:b/>
                <w:color w:val="000000"/>
              </w:rPr>
              <w:t>Provence</w:t>
            </w:r>
            <w:proofErr w:type="spellEnd"/>
          </w:p>
        </w:tc>
        <w:tc>
          <w:tcPr>
            <w:tcW w:w="3402" w:type="dxa"/>
            <w:tcBorders>
              <w:bottom w:val="single" w:sz="4" w:space="0" w:color="auto"/>
            </w:tcBorders>
            <w:vAlign w:val="center"/>
          </w:tcPr>
          <w:p w14:paraId="18B182F4" w14:textId="1165494C" w:rsidR="00CC11B3" w:rsidRPr="008A53C7" w:rsidRDefault="00CC11B3" w:rsidP="00CC11B3">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vAlign w:val="center"/>
          </w:tcPr>
          <w:p w14:paraId="6CF99173" w14:textId="0F970550" w:rsidR="00CC11B3" w:rsidRPr="008A53C7" w:rsidRDefault="00CC11B3" w:rsidP="00CC11B3">
            <w:pPr>
              <w:jc w:val="center"/>
              <w:rPr>
                <w:rFonts w:ascii="Calibri" w:hAnsi="Calibri"/>
                <w:b/>
                <w:color w:val="000000"/>
              </w:rPr>
            </w:pPr>
            <w:r>
              <w:rPr>
                <w:rFonts w:ascii="Calibri" w:hAnsi="Calibri"/>
                <w:b/>
                <w:color w:val="000000"/>
              </w:rPr>
              <w:t>08.30</w:t>
            </w:r>
          </w:p>
        </w:tc>
        <w:tc>
          <w:tcPr>
            <w:tcW w:w="1276" w:type="dxa"/>
            <w:tcBorders>
              <w:bottom w:val="single" w:sz="4" w:space="0" w:color="auto"/>
            </w:tcBorders>
            <w:vAlign w:val="center"/>
          </w:tcPr>
          <w:p w14:paraId="3D4DCC35" w14:textId="5AC163D2" w:rsidR="00CC11B3" w:rsidRPr="008A53C7" w:rsidRDefault="00CC11B3" w:rsidP="00CC11B3">
            <w:pPr>
              <w:jc w:val="center"/>
              <w:rPr>
                <w:rFonts w:ascii="Calibri" w:hAnsi="Calibri"/>
                <w:b/>
                <w:color w:val="000000"/>
              </w:rPr>
            </w:pPr>
            <w:r>
              <w:rPr>
                <w:rFonts w:ascii="Calibri" w:hAnsi="Calibri"/>
                <w:b/>
                <w:color w:val="000000"/>
              </w:rPr>
              <w:t>19.00</w:t>
            </w:r>
          </w:p>
        </w:tc>
      </w:tr>
      <w:tr w:rsidR="00CC11B3" w14:paraId="0D8CCB6B" w14:textId="77777777" w:rsidTr="00F95140">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3278899E" w:rsidR="00CC11B3" w:rsidRPr="00B46ED9" w:rsidRDefault="00CC11B3" w:rsidP="00F95140">
            <w:pPr>
              <w:rPr>
                <w:rFonts w:ascii="Calibri" w:hAnsi="Calibri"/>
                <w:b/>
                <w:color w:val="000000"/>
              </w:rPr>
            </w:pPr>
            <w:r>
              <w:rPr>
                <w:rFonts w:ascii="Calibri" w:hAnsi="Calibri"/>
                <w:b/>
                <w:color w:val="000000"/>
              </w:rPr>
              <w:t>Cannes</w:t>
            </w:r>
          </w:p>
        </w:tc>
        <w:tc>
          <w:tcPr>
            <w:tcW w:w="3402" w:type="dxa"/>
            <w:shd w:val="clear" w:color="auto" w:fill="F2F2F2" w:themeFill="background1" w:themeFillShade="F2"/>
            <w:vAlign w:val="center"/>
          </w:tcPr>
          <w:p w14:paraId="3C9B82DE" w14:textId="2BD4FC41" w:rsidR="00CC11B3" w:rsidRPr="00A25577" w:rsidRDefault="00CC11B3" w:rsidP="00F95140">
            <w:pPr>
              <w:jc w:val="center"/>
              <w:rPr>
                <w:rFonts w:ascii="Calibri" w:hAnsi="Calibri"/>
                <w:b/>
                <w:color w:val="000000"/>
              </w:rPr>
            </w:pPr>
            <w:r>
              <w:rPr>
                <w:rFonts w:ascii="Calibri" w:hAnsi="Calibri"/>
                <w:b/>
                <w:color w:val="000000"/>
              </w:rPr>
              <w:t>Fransa</w:t>
            </w:r>
          </w:p>
        </w:tc>
        <w:tc>
          <w:tcPr>
            <w:tcW w:w="1418" w:type="dxa"/>
            <w:shd w:val="clear" w:color="auto" w:fill="F2F2F2" w:themeFill="background1" w:themeFillShade="F2"/>
            <w:vAlign w:val="center"/>
          </w:tcPr>
          <w:p w14:paraId="34F84874" w14:textId="41D9B361" w:rsidR="00CC11B3" w:rsidRPr="008A53C7" w:rsidRDefault="00CC11B3" w:rsidP="00F95140">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340060C2" w14:textId="2EE1C02C" w:rsidR="00CC11B3" w:rsidRPr="008A53C7" w:rsidRDefault="00CC11B3" w:rsidP="00F95140">
            <w:pPr>
              <w:jc w:val="center"/>
              <w:rPr>
                <w:rFonts w:ascii="Calibri" w:hAnsi="Calibri"/>
                <w:b/>
                <w:color w:val="000000"/>
              </w:rPr>
            </w:pPr>
            <w:r>
              <w:rPr>
                <w:rFonts w:ascii="Calibri" w:hAnsi="Calibri"/>
                <w:b/>
                <w:color w:val="000000"/>
              </w:rPr>
              <w:t>18.30</w:t>
            </w:r>
          </w:p>
        </w:tc>
      </w:tr>
      <w:tr w:rsidR="00CC11B3" w14:paraId="54FD1A81" w14:textId="77777777" w:rsidTr="00F95140">
        <w:tc>
          <w:tcPr>
            <w:tcW w:w="851" w:type="dxa"/>
            <w:tcBorders>
              <w:bottom w:val="single" w:sz="4" w:space="0" w:color="auto"/>
            </w:tcBorders>
            <w:vAlign w:val="center"/>
          </w:tcPr>
          <w:p w14:paraId="6D6492A6"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73D94E39" w:rsidR="00CC11B3" w:rsidRPr="00B46ED9" w:rsidRDefault="00CC11B3" w:rsidP="00F95140">
            <w:pPr>
              <w:rPr>
                <w:rFonts w:ascii="Calibri" w:hAnsi="Calibri"/>
                <w:b/>
                <w:color w:val="000000"/>
              </w:rPr>
            </w:pPr>
            <w:r>
              <w:rPr>
                <w:rFonts w:ascii="Calibri" w:hAnsi="Calibri"/>
                <w:b/>
                <w:color w:val="000000"/>
              </w:rPr>
              <w:t xml:space="preserve">Livorno, </w:t>
            </w:r>
            <w:proofErr w:type="spellStart"/>
            <w:r>
              <w:rPr>
                <w:rFonts w:ascii="Calibri" w:hAnsi="Calibri"/>
                <w:b/>
                <w:color w:val="000000"/>
              </w:rPr>
              <w:t>Florence</w:t>
            </w:r>
            <w:proofErr w:type="spellEnd"/>
            <w:r>
              <w:rPr>
                <w:rFonts w:ascii="Calibri" w:hAnsi="Calibri"/>
                <w:b/>
                <w:color w:val="000000"/>
              </w:rPr>
              <w:t>, Pisa</w:t>
            </w:r>
          </w:p>
        </w:tc>
        <w:tc>
          <w:tcPr>
            <w:tcW w:w="3402" w:type="dxa"/>
            <w:tcBorders>
              <w:bottom w:val="single" w:sz="4" w:space="0" w:color="auto"/>
            </w:tcBorders>
            <w:vAlign w:val="center"/>
          </w:tcPr>
          <w:p w14:paraId="24BBBED3" w14:textId="3ED7E7A7" w:rsidR="00CC11B3" w:rsidRPr="00F929FC" w:rsidRDefault="00CC11B3" w:rsidP="00F95140">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51947B45" w14:textId="032FC157"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tcBorders>
              <w:bottom w:val="single" w:sz="4" w:space="0" w:color="auto"/>
            </w:tcBorders>
            <w:vAlign w:val="center"/>
          </w:tcPr>
          <w:p w14:paraId="4849DF02" w14:textId="5D153BAF" w:rsidR="00CC11B3" w:rsidRPr="008A53C7" w:rsidRDefault="00CC11B3" w:rsidP="00F95140">
            <w:pPr>
              <w:jc w:val="center"/>
              <w:rPr>
                <w:rFonts w:ascii="Calibri" w:hAnsi="Calibri"/>
                <w:b/>
                <w:color w:val="000000"/>
              </w:rPr>
            </w:pPr>
            <w:r>
              <w:rPr>
                <w:rFonts w:ascii="Calibri" w:hAnsi="Calibri"/>
                <w:b/>
                <w:color w:val="000000"/>
              </w:rPr>
              <w:t>19.30</w:t>
            </w:r>
          </w:p>
        </w:tc>
      </w:tr>
      <w:tr w:rsidR="00CC11B3" w14:paraId="2B5C085D" w14:textId="77777777" w:rsidTr="00F95140">
        <w:tc>
          <w:tcPr>
            <w:tcW w:w="851" w:type="dxa"/>
            <w:shd w:val="clear" w:color="auto" w:fill="F2F2F2" w:themeFill="background1" w:themeFillShade="F2"/>
            <w:vAlign w:val="center"/>
          </w:tcPr>
          <w:p w14:paraId="0CEEAB58"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43D113F4" w:rsidR="00CC11B3" w:rsidRPr="007129CE" w:rsidRDefault="00CC11B3" w:rsidP="00F95140">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3402" w:type="dxa"/>
            <w:shd w:val="clear" w:color="auto" w:fill="F2F2F2" w:themeFill="background1" w:themeFillShade="F2"/>
            <w:vAlign w:val="center"/>
          </w:tcPr>
          <w:p w14:paraId="3F305AAD" w14:textId="7D27B52E"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D137BE9" w14:textId="4FE1BBC0"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shd w:val="clear" w:color="auto" w:fill="F2F2F2" w:themeFill="background1" w:themeFillShade="F2"/>
            <w:vAlign w:val="center"/>
          </w:tcPr>
          <w:p w14:paraId="2F85640D" w14:textId="0C4F1444"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21E8C46C" w14:textId="77777777" w:rsidTr="00F95140">
        <w:tc>
          <w:tcPr>
            <w:tcW w:w="851" w:type="dxa"/>
            <w:tcBorders>
              <w:bottom w:val="single" w:sz="4" w:space="0" w:color="auto"/>
            </w:tcBorders>
            <w:vAlign w:val="center"/>
          </w:tcPr>
          <w:p w14:paraId="04B98FC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4522395E" w:rsidR="00CC11B3" w:rsidRPr="00B46ED9" w:rsidRDefault="00CC11B3" w:rsidP="00F95140">
            <w:pPr>
              <w:rPr>
                <w:rFonts w:ascii="Calibri" w:hAnsi="Calibri"/>
                <w:b/>
                <w:color w:val="000000"/>
              </w:rPr>
            </w:pPr>
            <w:r>
              <w:rPr>
                <w:rFonts w:ascii="Calibri" w:hAnsi="Calibri"/>
                <w:b/>
                <w:color w:val="000000"/>
              </w:rPr>
              <w:t xml:space="preserve">Napoli, </w:t>
            </w:r>
            <w:proofErr w:type="spellStart"/>
            <w:r>
              <w:rPr>
                <w:rFonts w:ascii="Calibri" w:hAnsi="Calibri"/>
                <w:b/>
                <w:color w:val="000000"/>
              </w:rPr>
              <w:t>Pompeii</w:t>
            </w:r>
            <w:proofErr w:type="spellEnd"/>
          </w:p>
        </w:tc>
        <w:tc>
          <w:tcPr>
            <w:tcW w:w="3402" w:type="dxa"/>
            <w:tcBorders>
              <w:bottom w:val="single" w:sz="4" w:space="0" w:color="auto"/>
            </w:tcBorders>
            <w:vAlign w:val="center"/>
          </w:tcPr>
          <w:p w14:paraId="15D12CEC" w14:textId="4E678E15"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14B51814" w14:textId="7A7B7D2A"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tcBorders>
              <w:bottom w:val="single" w:sz="4" w:space="0" w:color="auto"/>
            </w:tcBorders>
            <w:vAlign w:val="center"/>
          </w:tcPr>
          <w:p w14:paraId="02696F8A" w14:textId="3453A288"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09E6CC73" w14:textId="77777777" w:rsidTr="00F95140">
        <w:tc>
          <w:tcPr>
            <w:tcW w:w="851" w:type="dxa"/>
            <w:shd w:val="clear" w:color="auto" w:fill="F2F2F2" w:themeFill="background1" w:themeFillShade="F2"/>
            <w:vAlign w:val="center"/>
          </w:tcPr>
          <w:p w14:paraId="79C41B0E"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44115C4A" w:rsidR="00CC11B3" w:rsidRPr="008A53C7" w:rsidRDefault="00CC11B3" w:rsidP="00F95140">
            <w:pPr>
              <w:rPr>
                <w:rFonts w:ascii="Calibri" w:hAnsi="Calibri"/>
                <w:b/>
                <w:color w:val="000000"/>
              </w:rPr>
            </w:pPr>
            <w:r>
              <w:rPr>
                <w:rFonts w:ascii="Calibri" w:hAnsi="Calibri"/>
                <w:b/>
                <w:color w:val="000000"/>
              </w:rPr>
              <w:t>Messina</w:t>
            </w:r>
          </w:p>
        </w:tc>
        <w:tc>
          <w:tcPr>
            <w:tcW w:w="3402" w:type="dxa"/>
            <w:shd w:val="clear" w:color="auto" w:fill="F2F2F2" w:themeFill="background1" w:themeFillShade="F2"/>
            <w:vAlign w:val="center"/>
          </w:tcPr>
          <w:p w14:paraId="34BF35CE" w14:textId="2C21CB63"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267FE54C" w14:textId="3860A82E" w:rsidR="00CC11B3" w:rsidRPr="008A53C7" w:rsidRDefault="00CC11B3"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38C56B3" w14:textId="390DD9FA" w:rsidR="00CC11B3" w:rsidRPr="008A53C7" w:rsidRDefault="00CC11B3" w:rsidP="00F95140">
            <w:pPr>
              <w:jc w:val="center"/>
              <w:rPr>
                <w:rFonts w:ascii="Calibri" w:hAnsi="Calibri"/>
                <w:b/>
                <w:color w:val="000000"/>
              </w:rPr>
            </w:pPr>
            <w:r>
              <w:rPr>
                <w:rFonts w:ascii="Calibri" w:hAnsi="Calibri"/>
                <w:b/>
                <w:color w:val="000000"/>
              </w:rPr>
              <w:t>17.00</w:t>
            </w:r>
          </w:p>
        </w:tc>
      </w:tr>
      <w:tr w:rsidR="00CC11B3" w14:paraId="7FEDE96A" w14:textId="77777777" w:rsidTr="00F95140">
        <w:tc>
          <w:tcPr>
            <w:tcW w:w="851" w:type="dxa"/>
            <w:tcBorders>
              <w:bottom w:val="single" w:sz="4" w:space="0" w:color="auto"/>
            </w:tcBorders>
            <w:vAlign w:val="center"/>
          </w:tcPr>
          <w:p w14:paraId="763E0CD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41A87F7A" w:rsidR="00CC11B3" w:rsidRPr="00B46ED9" w:rsidRDefault="00CC11B3" w:rsidP="00F95140">
            <w:pPr>
              <w:rPr>
                <w:rFonts w:ascii="Calibri" w:hAnsi="Calibri"/>
                <w:b/>
                <w:color w:val="000000"/>
              </w:rPr>
            </w:pPr>
            <w:proofErr w:type="spellStart"/>
            <w:r>
              <w:rPr>
                <w:rFonts w:ascii="Calibri" w:hAnsi="Calibri"/>
                <w:b/>
                <w:color w:val="000000"/>
              </w:rPr>
              <w:t>Corfu</w:t>
            </w:r>
            <w:proofErr w:type="spellEnd"/>
          </w:p>
        </w:tc>
        <w:tc>
          <w:tcPr>
            <w:tcW w:w="3402" w:type="dxa"/>
            <w:tcBorders>
              <w:bottom w:val="single" w:sz="4" w:space="0" w:color="auto"/>
            </w:tcBorders>
            <w:vAlign w:val="center"/>
          </w:tcPr>
          <w:p w14:paraId="31200FB0" w14:textId="481E98BC" w:rsidR="00CC11B3" w:rsidRPr="00AB4320" w:rsidRDefault="00CC11B3" w:rsidP="00F95140">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3606B000" w14:textId="23209BAA" w:rsidR="00CC11B3" w:rsidRPr="008A53C7" w:rsidRDefault="00CC11B3" w:rsidP="00F95140">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399ABA68" w14:textId="194E3D68"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526FC640" w14:textId="77777777" w:rsidTr="00F95140">
        <w:tc>
          <w:tcPr>
            <w:tcW w:w="851" w:type="dxa"/>
            <w:shd w:val="clear" w:color="auto" w:fill="F2F2F2" w:themeFill="background1" w:themeFillShade="F2"/>
            <w:vAlign w:val="center"/>
          </w:tcPr>
          <w:p w14:paraId="65208C34"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6572EE6D" w:rsidR="00CC11B3" w:rsidRPr="00B46ED9" w:rsidRDefault="00CC11B3" w:rsidP="00F95140">
            <w:pPr>
              <w:rPr>
                <w:rFonts w:ascii="Calibri" w:hAnsi="Calibri"/>
                <w:b/>
                <w:color w:val="000000"/>
              </w:rPr>
            </w:pPr>
            <w:proofErr w:type="spellStart"/>
            <w:r>
              <w:rPr>
                <w:rFonts w:ascii="Calibri" w:hAnsi="Calibri"/>
                <w:b/>
                <w:color w:val="000000"/>
              </w:rPr>
              <w:t>Dubrovnik</w:t>
            </w:r>
            <w:proofErr w:type="spellEnd"/>
          </w:p>
        </w:tc>
        <w:tc>
          <w:tcPr>
            <w:tcW w:w="3402" w:type="dxa"/>
            <w:shd w:val="clear" w:color="auto" w:fill="F2F2F2" w:themeFill="background1" w:themeFillShade="F2"/>
            <w:vAlign w:val="center"/>
          </w:tcPr>
          <w:p w14:paraId="67DE2A15" w14:textId="00D4C6E9" w:rsidR="00CC11B3" w:rsidRPr="00AB4320" w:rsidRDefault="00CC11B3" w:rsidP="00F95140">
            <w:pPr>
              <w:jc w:val="center"/>
              <w:rPr>
                <w:rFonts w:ascii="Calibri" w:hAnsi="Calibri"/>
                <w:b/>
                <w:color w:val="000000"/>
              </w:rPr>
            </w:pPr>
            <w:r>
              <w:rPr>
                <w:rFonts w:ascii="Calibri" w:hAnsi="Calibri"/>
                <w:b/>
                <w:color w:val="000000"/>
              </w:rPr>
              <w:t>Hırvatistan</w:t>
            </w:r>
          </w:p>
        </w:tc>
        <w:tc>
          <w:tcPr>
            <w:tcW w:w="1418" w:type="dxa"/>
            <w:shd w:val="clear" w:color="auto" w:fill="F2F2F2" w:themeFill="background1" w:themeFillShade="F2"/>
            <w:vAlign w:val="center"/>
          </w:tcPr>
          <w:p w14:paraId="51014836" w14:textId="291AD02B" w:rsidR="00CC11B3" w:rsidRPr="008A53C7" w:rsidRDefault="00CC11B3"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93C1EA1" w14:textId="47BF17B0" w:rsidR="00CC11B3" w:rsidRPr="008A53C7" w:rsidRDefault="00CC11B3" w:rsidP="00F95140">
            <w:pPr>
              <w:jc w:val="center"/>
              <w:rPr>
                <w:rFonts w:ascii="Calibri" w:hAnsi="Calibri"/>
                <w:b/>
                <w:color w:val="000000"/>
              </w:rPr>
            </w:pPr>
            <w:r>
              <w:rPr>
                <w:rFonts w:ascii="Calibri" w:hAnsi="Calibri"/>
                <w:b/>
                <w:color w:val="000000"/>
              </w:rPr>
              <w:t>16.00</w:t>
            </w:r>
          </w:p>
        </w:tc>
      </w:tr>
      <w:tr w:rsidR="00CC11B3" w14:paraId="4A72FAB3" w14:textId="77777777" w:rsidTr="00F95140">
        <w:tc>
          <w:tcPr>
            <w:tcW w:w="851" w:type="dxa"/>
            <w:shd w:val="clear" w:color="auto" w:fill="auto"/>
            <w:vAlign w:val="center"/>
          </w:tcPr>
          <w:p w14:paraId="25157532"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433DC0E0" w14:textId="07117D6B" w:rsidR="00CC11B3" w:rsidRDefault="00CC11B3" w:rsidP="00F95140">
            <w:pPr>
              <w:rPr>
                <w:rFonts w:ascii="Calibri" w:hAnsi="Calibri"/>
                <w:b/>
                <w:color w:val="000000"/>
              </w:rPr>
            </w:pPr>
            <w:proofErr w:type="spellStart"/>
            <w:r>
              <w:rPr>
                <w:rFonts w:ascii="Calibri" w:hAnsi="Calibri"/>
                <w:b/>
                <w:color w:val="000000"/>
              </w:rPr>
              <w:t>Koper</w:t>
            </w:r>
            <w:proofErr w:type="spellEnd"/>
          </w:p>
        </w:tc>
        <w:tc>
          <w:tcPr>
            <w:tcW w:w="3402" w:type="dxa"/>
            <w:shd w:val="clear" w:color="auto" w:fill="auto"/>
            <w:vAlign w:val="center"/>
          </w:tcPr>
          <w:p w14:paraId="331D36AE" w14:textId="2F13B729" w:rsidR="00CC11B3" w:rsidRDefault="00CC11B3" w:rsidP="00F95140">
            <w:pPr>
              <w:jc w:val="center"/>
              <w:rPr>
                <w:rFonts w:ascii="Calibri" w:hAnsi="Calibri"/>
                <w:b/>
                <w:color w:val="000000"/>
              </w:rPr>
            </w:pPr>
            <w:r>
              <w:rPr>
                <w:rFonts w:ascii="Calibri" w:hAnsi="Calibri"/>
                <w:b/>
                <w:color w:val="000000"/>
              </w:rPr>
              <w:t>Slovenya</w:t>
            </w:r>
          </w:p>
        </w:tc>
        <w:tc>
          <w:tcPr>
            <w:tcW w:w="1418" w:type="dxa"/>
            <w:shd w:val="clear" w:color="auto" w:fill="auto"/>
            <w:vAlign w:val="center"/>
          </w:tcPr>
          <w:p w14:paraId="02C77ADF" w14:textId="4ADAFB34" w:rsidR="00CC11B3" w:rsidRDefault="00CC11B3" w:rsidP="00F95140">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39C15F54" w14:textId="579562A3" w:rsidR="00CC11B3" w:rsidRDefault="00CC11B3" w:rsidP="00F95140">
            <w:pPr>
              <w:jc w:val="center"/>
              <w:rPr>
                <w:rFonts w:ascii="Calibri" w:hAnsi="Calibri"/>
                <w:b/>
                <w:color w:val="000000"/>
              </w:rPr>
            </w:pPr>
            <w:r>
              <w:rPr>
                <w:rFonts w:ascii="Calibri" w:hAnsi="Calibri"/>
                <w:b/>
                <w:color w:val="000000"/>
              </w:rPr>
              <w:t>19.00</w:t>
            </w:r>
          </w:p>
        </w:tc>
      </w:tr>
    </w:tbl>
    <w:p w14:paraId="36D3E79B" w14:textId="77777777" w:rsidR="00366EA2" w:rsidRDefault="00366EA2" w:rsidP="00366EA2">
      <w:pPr>
        <w:jc w:val="both"/>
        <w:rPr>
          <w:rFonts w:asciiTheme="minorHAnsi" w:hAnsiTheme="minorHAnsi" w:cstheme="minorHAnsi"/>
          <w:b/>
        </w:rPr>
      </w:pPr>
    </w:p>
    <w:p w14:paraId="7A68FA6D" w14:textId="6F215A8F"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C11B3">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CC11B3">
        <w:rPr>
          <w:rFonts w:asciiTheme="minorHAnsi" w:hAnsiTheme="minorHAnsi" w:cstheme="minorHAnsi"/>
          <w:b/>
        </w:rPr>
        <w:t>1</w:t>
      </w:r>
      <w:r w:rsidR="00681EAE">
        <w:rPr>
          <w:rFonts w:asciiTheme="minorHAnsi" w:hAnsiTheme="minorHAnsi" w:cstheme="minorHAnsi"/>
          <w:b/>
        </w:rPr>
        <w:t>4</w:t>
      </w:r>
      <w:r w:rsidR="002E6581">
        <w:rPr>
          <w:rFonts w:asciiTheme="minorHAnsi" w:hAnsiTheme="minorHAnsi" w:cstheme="minorHAnsi"/>
          <w:b/>
        </w:rPr>
        <w:t>.</w:t>
      </w:r>
      <w:r w:rsidR="00CC11B3">
        <w:rPr>
          <w:rFonts w:asciiTheme="minorHAnsi" w:hAnsiTheme="minorHAnsi" w:cstheme="minorHAnsi"/>
          <w:b/>
        </w:rPr>
        <w:t>11</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2199468D" w:rsidR="00366EA2" w:rsidRDefault="006E13BC" w:rsidP="00366EA2">
      <w:pPr>
        <w:jc w:val="both"/>
        <w:rPr>
          <w:rFonts w:asciiTheme="minorHAnsi" w:hAnsiTheme="minorHAnsi" w:cstheme="minorHAnsi"/>
        </w:rPr>
      </w:pPr>
      <w:r>
        <w:rPr>
          <w:noProof/>
        </w:rPr>
        <w:drawing>
          <wp:anchor distT="0" distB="0" distL="114300" distR="114300" simplePos="0" relativeHeight="251658240" behindDoc="0" locked="0" layoutInCell="1" allowOverlap="1" wp14:anchorId="6AD2D4A7" wp14:editId="052AAA60">
            <wp:simplePos x="0" y="0"/>
            <wp:positionH relativeFrom="margin">
              <wp:posOffset>2802255</wp:posOffset>
            </wp:positionH>
            <wp:positionV relativeFrom="margin">
              <wp:posOffset>6586855</wp:posOffset>
            </wp:positionV>
            <wp:extent cx="4495800" cy="3331210"/>
            <wp:effectExtent l="0" t="0" r="0" b="2540"/>
            <wp:wrapSquare wrapText="bothSides"/>
            <wp:docPr id="536072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495800"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63706D">
        <w:rPr>
          <w:rFonts w:asciiTheme="minorHAnsi" w:hAnsiTheme="minorHAnsi" w:cstheme="minorHAnsi"/>
        </w:rPr>
        <w:t>5</w:t>
      </w:r>
      <w:r w:rsidR="00366EA2">
        <w:rPr>
          <w:rFonts w:asciiTheme="minorHAnsi" w:hAnsiTheme="minorHAnsi" w:cstheme="minorHAnsi"/>
        </w:rPr>
        <w:t xml:space="preserve">.00'da </w:t>
      </w:r>
      <w:r w:rsidR="0063706D">
        <w:rPr>
          <w:rFonts w:asciiTheme="minorHAnsi" w:hAnsiTheme="minorHAnsi" w:cstheme="minorHAnsi"/>
        </w:rPr>
        <w:t>Barcelona</w:t>
      </w:r>
      <w:r w:rsidR="00366EA2">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ve</w:t>
      </w:r>
      <w:r w:rsidR="00366EA2" w:rsidRPr="005B7466">
        <w:rPr>
          <w:rFonts w:asciiTheme="minorHAnsi" w:hAnsiTheme="minorHAnsi" w:cstheme="minorHAnsi"/>
        </w:rPr>
        <w:t xml:space="preserve"> çıkış işlemleri</w:t>
      </w:r>
      <w:r w:rsidR="00366EA2">
        <w:rPr>
          <w:rFonts w:asciiTheme="minorHAnsi" w:hAnsiTheme="minorHAnsi" w:cstheme="minorHAnsi"/>
        </w:rPr>
        <w:t xml:space="preserve"> sonrası limanda bizleri bekleyen aracımız ile </w:t>
      </w:r>
      <w:r w:rsidR="0063706D">
        <w:rPr>
          <w:rFonts w:asciiTheme="minorHAnsi" w:hAnsiTheme="minorHAnsi" w:cstheme="minorHAnsi"/>
        </w:rPr>
        <w:t>Barcelona</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proofErr w:type="spellStart"/>
      <w:r w:rsidR="00366EA2" w:rsidRPr="001C0C20">
        <w:rPr>
          <w:rFonts w:asciiTheme="minorHAnsi" w:hAnsiTheme="minorHAnsi" w:cstheme="minorHAnsi"/>
        </w:rPr>
        <w:t>Check</w:t>
      </w:r>
      <w:proofErr w:type="spellEnd"/>
      <w:r w:rsidR="00366EA2" w:rsidRPr="001C0C20">
        <w:rPr>
          <w:rFonts w:asciiTheme="minorHAnsi" w:hAnsiTheme="minorHAnsi" w:cstheme="minorHAnsi"/>
        </w:rPr>
        <w:t>-in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63706D">
        <w:rPr>
          <w:rFonts w:asciiTheme="minorHAnsi" w:hAnsiTheme="minorHAnsi" w:cstheme="minorHAnsi"/>
        </w:rPr>
        <w:t>8</w:t>
      </w:r>
      <w:r w:rsidR="00F07061">
        <w:rPr>
          <w:rFonts w:asciiTheme="minorHAnsi" w:hAnsiTheme="minorHAnsi" w:cstheme="minorHAnsi"/>
        </w:rPr>
        <w:t>72</w:t>
      </w:r>
      <w:r w:rsidR="00366EA2" w:rsidRPr="001C0C20">
        <w:rPr>
          <w:rFonts w:asciiTheme="minorHAnsi" w:hAnsiTheme="minorHAnsi" w:cstheme="minorHAnsi"/>
        </w:rPr>
        <w:t xml:space="preserve"> </w:t>
      </w:r>
      <w:proofErr w:type="spellStart"/>
      <w:r w:rsidR="00366EA2" w:rsidRPr="001C0C20">
        <w:rPr>
          <w:rFonts w:asciiTheme="minorHAnsi" w:hAnsiTheme="minorHAnsi" w:cstheme="minorHAnsi"/>
        </w:rPr>
        <w:t>no’lu</w:t>
      </w:r>
      <w:proofErr w:type="spellEnd"/>
      <w:r w:rsidR="00366EA2" w:rsidRPr="001C0C20">
        <w:rPr>
          <w:rFonts w:asciiTheme="minorHAnsi" w:hAnsiTheme="minorHAnsi" w:cstheme="minorHAnsi"/>
        </w:rPr>
        <w:t xml:space="preserve">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366EA2">
        <w:rPr>
          <w:rFonts w:asciiTheme="minorHAnsi" w:hAnsiTheme="minorHAnsi" w:cstheme="minorHAnsi"/>
        </w:rPr>
        <w:t>1</w:t>
      </w:r>
      <w:r w:rsidR="0063706D">
        <w:rPr>
          <w:rFonts w:asciiTheme="minorHAnsi" w:hAnsiTheme="minorHAnsi" w:cstheme="minorHAnsi"/>
        </w:rPr>
        <w:t>4</w:t>
      </w:r>
      <w:r w:rsidR="00366EA2" w:rsidRPr="0044796D">
        <w:rPr>
          <w:rFonts w:asciiTheme="minorHAnsi" w:hAnsiTheme="minorHAnsi" w:cstheme="minorHAnsi"/>
        </w:rPr>
        <w:t>.</w:t>
      </w:r>
      <w:r w:rsidR="0063706D">
        <w:rPr>
          <w:rFonts w:asciiTheme="minorHAnsi" w:hAnsiTheme="minorHAnsi" w:cstheme="minorHAnsi"/>
        </w:rPr>
        <w:t>4</w:t>
      </w:r>
      <w:r w:rsidR="00F07061">
        <w:rPr>
          <w:rFonts w:asciiTheme="minorHAnsi" w:hAnsiTheme="minorHAnsi" w:cstheme="minorHAnsi"/>
        </w:rPr>
        <w:t>0</w:t>
      </w:r>
      <w:r w:rsidR="00366EA2">
        <w:rPr>
          <w:rFonts w:asciiTheme="minorHAnsi" w:hAnsiTheme="minorHAnsi" w:cstheme="minorHAnsi"/>
        </w:rPr>
        <w:t>’</w:t>
      </w:r>
      <w:r w:rsidR="00946F53">
        <w:rPr>
          <w:rFonts w:asciiTheme="minorHAnsi" w:hAnsiTheme="minorHAnsi" w:cstheme="minorHAnsi"/>
        </w:rPr>
        <w:t xml:space="preserve"> </w:t>
      </w:r>
      <w:r w:rsidR="00F07061">
        <w:rPr>
          <w:rFonts w:asciiTheme="minorHAnsi" w:hAnsiTheme="minorHAnsi" w:cstheme="minorHAnsi"/>
        </w:rPr>
        <w:t>d</w:t>
      </w:r>
      <w:r w:rsidR="0063706D">
        <w:rPr>
          <w:rFonts w:asciiTheme="minorHAnsi" w:hAnsiTheme="minorHAnsi" w:cstheme="minorHAnsi"/>
        </w:rPr>
        <w:t>a</w:t>
      </w:r>
      <w:r w:rsidR="00366EA2" w:rsidRPr="001C0C20">
        <w:rPr>
          <w:rFonts w:asciiTheme="minorHAnsi" w:hAnsiTheme="minorHAnsi" w:cstheme="minorHAnsi"/>
        </w:rPr>
        <w:t xml:space="preserve"> </w:t>
      </w:r>
      <w:r w:rsidR="00366EA2">
        <w:rPr>
          <w:rFonts w:asciiTheme="minorHAnsi" w:hAnsiTheme="minorHAnsi" w:cstheme="minorHAnsi"/>
        </w:rPr>
        <w:t>İstanbul</w:t>
      </w:r>
      <w:r w:rsidR="00F07061">
        <w:rPr>
          <w:rFonts w:asciiTheme="minorHAnsi" w:hAnsiTheme="minorHAnsi" w:cstheme="minorHAnsi"/>
        </w:rPr>
        <w:t xml:space="preserve"> </w:t>
      </w:r>
      <w:r w:rsidR="00366EA2">
        <w:rPr>
          <w:rFonts w:asciiTheme="minorHAnsi" w:hAnsiTheme="minorHAnsi" w:cstheme="minorHAnsi"/>
        </w:rPr>
        <w:t>Havalimanı’na hareket. Yerel saat ile 1</w:t>
      </w:r>
      <w:r w:rsidR="0063706D">
        <w:rPr>
          <w:rFonts w:asciiTheme="minorHAnsi" w:hAnsiTheme="minorHAnsi" w:cstheme="minorHAnsi"/>
        </w:rPr>
        <w:t>9</w:t>
      </w:r>
      <w:r w:rsidR="00366EA2">
        <w:rPr>
          <w:rFonts w:asciiTheme="minorHAnsi" w:hAnsiTheme="minorHAnsi" w:cstheme="minorHAnsi"/>
        </w:rPr>
        <w:t>.</w:t>
      </w:r>
      <w:r w:rsidR="0063706D">
        <w:rPr>
          <w:rFonts w:asciiTheme="minorHAnsi" w:hAnsiTheme="minorHAnsi" w:cstheme="minorHAnsi"/>
        </w:rPr>
        <w:t>10</w:t>
      </w:r>
      <w:r w:rsidR="00366EA2">
        <w:rPr>
          <w:rFonts w:asciiTheme="minorHAnsi" w:hAnsiTheme="minorHAnsi" w:cstheme="minorHAnsi"/>
        </w:rPr>
        <w:t>’</w:t>
      </w:r>
      <w:r w:rsidR="0077276F">
        <w:rPr>
          <w:rFonts w:asciiTheme="minorHAnsi" w:hAnsiTheme="minorHAnsi" w:cstheme="minorHAnsi"/>
        </w:rPr>
        <w:t>t</w:t>
      </w:r>
      <w:r w:rsidR="0063706D">
        <w:rPr>
          <w:rFonts w:asciiTheme="minorHAnsi" w:hAnsiTheme="minorHAnsi" w:cstheme="minorHAnsi"/>
        </w:rPr>
        <w:t>a</w:t>
      </w:r>
      <w:r w:rsidR="00366EA2">
        <w:rPr>
          <w:rFonts w:asciiTheme="minorHAnsi" w:hAnsiTheme="minorHAnsi" w:cstheme="minorHAnsi"/>
        </w:rPr>
        <w:t xml:space="preserve"> varış ve programın sonu</w:t>
      </w:r>
      <w:r w:rsidR="0077276F">
        <w:rPr>
          <w:rFonts w:asciiTheme="minorHAnsi" w:hAnsiTheme="minorHAnsi" w:cstheme="minorHAnsi"/>
        </w:rPr>
        <w:t>.</w:t>
      </w:r>
    </w:p>
    <w:p w14:paraId="089C18A6" w14:textId="5BFB1CF3" w:rsidR="00636B84" w:rsidRPr="00636B84" w:rsidRDefault="00636B84" w:rsidP="00F602AF">
      <w:pPr>
        <w:jc w:val="both"/>
        <w:rPr>
          <w:rFonts w:asciiTheme="minorHAnsi" w:hAnsiTheme="minorHAnsi" w:cstheme="minorHAnsi"/>
          <w:b/>
          <w:color w:val="FF0000"/>
          <w:sz w:val="20"/>
          <w:szCs w:val="20"/>
        </w:rPr>
      </w:pPr>
    </w:p>
    <w:p w14:paraId="6F89762B" w14:textId="6F730202" w:rsidR="007D3EE9" w:rsidRDefault="007D3EE9" w:rsidP="00F602AF">
      <w:pPr>
        <w:jc w:val="both"/>
        <w:rPr>
          <w:rFonts w:asciiTheme="minorHAnsi" w:hAnsiTheme="minorHAnsi" w:cstheme="minorHAnsi"/>
          <w:b/>
          <w:color w:val="FF0000"/>
          <w:sz w:val="36"/>
          <w:szCs w:val="36"/>
        </w:rPr>
      </w:pPr>
    </w:p>
    <w:p w14:paraId="51828BB3" w14:textId="7B4BC4C6"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NCL DAWN</w:t>
      </w:r>
    </w:p>
    <w:p w14:paraId="18363469" w14:textId="6C5740CA"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02</w:t>
      </w:r>
      <w:r w:rsidR="00AE4A7F" w:rsidRPr="00AE4A7F">
        <w:rPr>
          <w:rFonts w:asciiTheme="minorHAnsi" w:hAnsiTheme="minorHAnsi" w:cstheme="minorHAnsi"/>
        </w:rPr>
        <w:t xml:space="preserve"> (2016 Yenilenme)</w:t>
      </w:r>
    </w:p>
    <w:p w14:paraId="72856693" w14:textId="0A2A8DC9"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340</w:t>
      </w:r>
      <w:r w:rsidRPr="00AE4A7F">
        <w:rPr>
          <w:rFonts w:asciiTheme="minorHAnsi" w:hAnsiTheme="minorHAnsi" w:cstheme="minorHAnsi"/>
        </w:rPr>
        <w:t xml:space="preserve"> kişi </w:t>
      </w:r>
    </w:p>
    <w:p w14:paraId="7014E69B" w14:textId="1D4FDB19"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103</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7C6E2121"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3E1ECB" w:rsidRPr="00AE4A7F">
        <w:rPr>
          <w:rFonts w:asciiTheme="minorHAnsi" w:hAnsiTheme="minorHAnsi" w:cstheme="minorHAnsi"/>
        </w:rPr>
        <w:t>2</w:t>
      </w:r>
      <w:r w:rsidRPr="00AE4A7F">
        <w:rPr>
          <w:rFonts w:asciiTheme="minorHAnsi" w:hAnsiTheme="minorHAnsi" w:cstheme="minorHAnsi"/>
        </w:rPr>
        <w:t>.</w:t>
      </w:r>
      <w:r w:rsidR="003E1ECB" w:rsidRPr="00AE4A7F">
        <w:rPr>
          <w:rFonts w:asciiTheme="minorHAnsi" w:hAnsiTheme="minorHAnsi" w:cstheme="minorHAnsi"/>
        </w:rPr>
        <w:t>25</w:t>
      </w:r>
      <w:r w:rsidRPr="00AE4A7F">
        <w:rPr>
          <w:rFonts w:asciiTheme="minorHAnsi" w:hAnsiTheme="minorHAnsi" w:cstheme="minorHAnsi"/>
        </w:rPr>
        <w:t xml:space="preserve">0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01266651" w:rsidR="003B1E52" w:rsidRPr="00E2026D" w:rsidRDefault="003D3AC1" w:rsidP="00877FBD">
            <w:pPr>
              <w:jc w:val="center"/>
              <w:rPr>
                <w:rFonts w:asciiTheme="minorHAnsi" w:hAnsiTheme="minorHAnsi" w:cstheme="minorHAnsi"/>
                <w:b/>
              </w:rPr>
            </w:pPr>
            <w:r>
              <w:rPr>
                <w:rFonts w:asciiTheme="minorHAnsi" w:hAnsiTheme="minorHAnsi" w:cstheme="minorHAnsi"/>
                <w:b/>
              </w:rPr>
              <w:t>1.</w:t>
            </w:r>
            <w:r w:rsidR="006E13BC">
              <w:rPr>
                <w:rFonts w:asciiTheme="minorHAnsi" w:hAnsiTheme="minorHAnsi" w:cstheme="minorHAnsi"/>
                <w:b/>
              </w:rPr>
              <w:t>1</w:t>
            </w:r>
            <w:r>
              <w:rPr>
                <w:rFonts w:asciiTheme="minorHAnsi" w:hAnsiTheme="minorHAnsi" w:cstheme="minorHAnsi"/>
                <w:b/>
              </w:rPr>
              <w:t>99</w:t>
            </w:r>
            <w:r w:rsidR="003B1E52">
              <w:rPr>
                <w:rFonts w:asciiTheme="minorHAnsi" w:hAnsiTheme="minorHAnsi" w:cstheme="minorHAnsi"/>
                <w:b/>
              </w:rPr>
              <w:t xml:space="preserve">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1C11837" w:rsidR="003B1E52" w:rsidRPr="005B7466" w:rsidRDefault="00F001A2" w:rsidP="00877FBD">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3B1E52" w:rsidRPr="005B7466" w:rsidRDefault="008416AC" w:rsidP="00DE4D72">
            <w:pPr>
              <w:rPr>
                <w:rFonts w:asciiTheme="minorHAnsi" w:hAnsiTheme="minorHAnsi" w:cstheme="minorHAnsi"/>
                <w:b/>
              </w:rPr>
            </w:pPr>
            <w:r>
              <w:rPr>
                <w:rFonts w:asciiTheme="minorHAnsi" w:hAnsiTheme="minorHAnsi" w:cstheme="minorHAnsi"/>
                <w:b/>
              </w:rPr>
              <w:t xml:space="preserve">Kısıtlı Görüş </w:t>
            </w:r>
            <w:r w:rsidR="003B1E52">
              <w:rPr>
                <w:rFonts w:asciiTheme="minorHAnsi" w:hAnsiTheme="minorHAnsi" w:cstheme="minorHAnsi"/>
                <w:b/>
              </w:rPr>
              <w:t>Dış</w:t>
            </w:r>
            <w:r w:rsidR="003B1E52"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32220574" w:rsidR="003B1E52" w:rsidRPr="004D330A" w:rsidRDefault="006E13BC" w:rsidP="00DE4D72">
            <w:pPr>
              <w:jc w:val="center"/>
              <w:rPr>
                <w:rFonts w:asciiTheme="minorHAnsi" w:hAnsiTheme="minorHAnsi" w:cstheme="minorHAnsi"/>
                <w:b/>
                <w:bCs/>
              </w:rPr>
            </w:pPr>
            <w:r>
              <w:rPr>
                <w:rFonts w:asciiTheme="minorHAnsi" w:hAnsiTheme="minorHAnsi" w:cstheme="minorHAnsi"/>
                <w:b/>
                <w:bCs/>
              </w:rPr>
              <w:t>1</w:t>
            </w:r>
            <w:r w:rsidR="004D330A" w:rsidRPr="004D330A">
              <w:rPr>
                <w:rFonts w:asciiTheme="minorHAnsi" w:hAnsiTheme="minorHAnsi" w:cstheme="minorHAnsi"/>
                <w:b/>
                <w:bCs/>
              </w:rPr>
              <w:t>.</w:t>
            </w:r>
            <w:r>
              <w:rPr>
                <w:rFonts w:asciiTheme="minorHAnsi" w:hAnsiTheme="minorHAnsi" w:cstheme="minorHAnsi"/>
                <w:b/>
                <w:bCs/>
              </w:rPr>
              <w:t>3</w:t>
            </w:r>
            <w:r w:rsidR="00A91DA9">
              <w:rPr>
                <w:rFonts w:asciiTheme="minorHAnsi" w:hAnsiTheme="minorHAnsi" w:cstheme="minorHAnsi"/>
                <w:b/>
                <w:bCs/>
              </w:rPr>
              <w:t xml:space="preserve">99 </w:t>
            </w:r>
            <w:r w:rsidR="004D330A" w:rsidRPr="004D330A">
              <w:rPr>
                <w:rFonts w:asciiTheme="minorHAnsi" w:hAnsiTheme="minorHAnsi" w:cstheme="minorHAnsi"/>
                <w:b/>
                <w:bCs/>
              </w:rPr>
              <w:t>€</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3B1E52" w:rsidRPr="005B7466" w:rsidRDefault="00ED524E" w:rsidP="00DE4D72">
            <w:pPr>
              <w:rPr>
                <w:rFonts w:asciiTheme="minorHAnsi" w:hAnsiTheme="minorHAnsi" w:cstheme="minorHAnsi"/>
              </w:rPr>
            </w:pPr>
            <w:r>
              <w:rPr>
                <w:rFonts w:asciiTheme="minorHAnsi" w:hAnsiTheme="minorHAnsi" w:cstheme="minorHAnsi"/>
              </w:rPr>
              <w:t xml:space="preserve">K. </w:t>
            </w:r>
            <w:r w:rsidR="003B1E52">
              <w:rPr>
                <w:rFonts w:asciiTheme="minorHAnsi" w:hAnsiTheme="minorHAnsi" w:cstheme="minorHAnsi"/>
              </w:rPr>
              <w:t>Dış</w:t>
            </w:r>
            <w:r w:rsidR="003B1E52"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070445F6" w:rsidR="003B1E52" w:rsidRPr="005B7466" w:rsidRDefault="00F001A2" w:rsidP="00DE4D72">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3B1E52" w:rsidRPr="005B7466" w:rsidRDefault="0035319F" w:rsidP="00DE4D72">
            <w:pPr>
              <w:rPr>
                <w:rFonts w:asciiTheme="minorHAnsi" w:hAnsiTheme="minorHAnsi" w:cstheme="minorHAnsi"/>
                <w:b/>
              </w:rPr>
            </w:pPr>
            <w:r>
              <w:rPr>
                <w:rFonts w:asciiTheme="minorHAnsi" w:hAnsiTheme="minorHAnsi" w:cstheme="minorHAnsi"/>
                <w:b/>
              </w:rPr>
              <w:t>Dış</w:t>
            </w:r>
            <w:r w:rsidR="003B1E52" w:rsidRPr="005B7466">
              <w:rPr>
                <w:rFonts w:asciiTheme="minorHAnsi" w:hAnsiTheme="minorHAnsi" w:cstheme="minorHAnsi"/>
                <w:b/>
              </w:rPr>
              <w:t xml:space="preserve"> </w:t>
            </w:r>
            <w:r w:rsidR="003B1E52">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43C6D1DD" w:rsidR="003B1E52" w:rsidRPr="00E2026D" w:rsidRDefault="006E13BC" w:rsidP="00DE4D72">
            <w:pPr>
              <w:jc w:val="center"/>
              <w:rPr>
                <w:rFonts w:asciiTheme="minorHAnsi" w:hAnsiTheme="minorHAnsi" w:cstheme="minorHAnsi"/>
                <w:b/>
              </w:rPr>
            </w:pPr>
            <w:r w:rsidRPr="00FD052F">
              <w:rPr>
                <w:rFonts w:asciiTheme="minorHAnsi" w:hAnsiTheme="minorHAnsi" w:cstheme="minorHAnsi"/>
                <w:b/>
                <w:highlight w:val="yellow"/>
              </w:rPr>
              <w:t>1.599 €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3B1E52" w:rsidRPr="005B7466" w:rsidRDefault="0035319F" w:rsidP="002C1C8D">
            <w:pPr>
              <w:rPr>
                <w:rFonts w:asciiTheme="minorHAnsi" w:hAnsiTheme="minorHAnsi" w:cstheme="minorHAnsi"/>
                <w:b/>
              </w:rPr>
            </w:pPr>
            <w:r>
              <w:rPr>
                <w:rFonts w:asciiTheme="minorHAnsi" w:hAnsiTheme="minorHAnsi" w:cstheme="minorHAnsi"/>
              </w:rPr>
              <w:t>Dış</w:t>
            </w:r>
            <w:r w:rsidR="003B1E52">
              <w:rPr>
                <w:rFonts w:asciiTheme="minorHAnsi" w:hAnsiTheme="minorHAnsi" w:cstheme="minorHAnsi"/>
              </w:rPr>
              <w:t xml:space="preserve"> Kabin</w:t>
            </w:r>
            <w:r w:rsidR="003B1E52"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5E98740F" w:rsidR="003B1E52" w:rsidRPr="00FD052F" w:rsidRDefault="006E13BC" w:rsidP="002C1C8D">
            <w:pPr>
              <w:jc w:val="center"/>
              <w:rPr>
                <w:rFonts w:asciiTheme="minorHAnsi" w:hAnsiTheme="minorHAnsi" w:cstheme="minorHAnsi"/>
                <w:b/>
                <w:highlight w:val="yellow"/>
              </w:rPr>
            </w:pPr>
            <w:r w:rsidRPr="00FD052F">
              <w:rPr>
                <w:rFonts w:asciiTheme="minorHAnsi" w:hAnsiTheme="minorHAnsi" w:cstheme="minorHAnsi"/>
                <w:b/>
                <w:highlight w:val="yellow"/>
              </w:rPr>
              <w:t>1</w:t>
            </w:r>
            <w:r w:rsidR="00300417" w:rsidRPr="00FD052F">
              <w:rPr>
                <w:rFonts w:asciiTheme="minorHAnsi" w:hAnsiTheme="minorHAnsi" w:cstheme="minorHAnsi"/>
                <w:b/>
                <w:highlight w:val="yellow"/>
              </w:rPr>
              <w:t>.</w:t>
            </w:r>
            <w:r w:rsidRPr="00FD052F">
              <w:rPr>
                <w:rFonts w:asciiTheme="minorHAnsi" w:hAnsiTheme="minorHAnsi" w:cstheme="minorHAnsi"/>
                <w:b/>
                <w:highlight w:val="yellow"/>
              </w:rPr>
              <w:t>5</w:t>
            </w:r>
            <w:r w:rsidR="0034513D" w:rsidRPr="00FD052F">
              <w:rPr>
                <w:rFonts w:asciiTheme="minorHAnsi" w:hAnsiTheme="minorHAnsi" w:cstheme="minorHAnsi"/>
                <w:b/>
                <w:highlight w:val="yellow"/>
              </w:rPr>
              <w:t>99</w:t>
            </w:r>
            <w:r w:rsidR="003B1E52" w:rsidRPr="00FD052F">
              <w:rPr>
                <w:rFonts w:asciiTheme="minorHAnsi" w:hAnsiTheme="minorHAnsi" w:cstheme="minorHAnsi"/>
                <w:b/>
                <w:highlight w:val="yellow"/>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7C160A6C" w:rsidR="003B1E52" w:rsidRPr="005B7466" w:rsidRDefault="00F001A2" w:rsidP="002C1C8D">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68BCC071"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proofErr w:type="gramStart"/>
      <w:r w:rsidR="006E13BC">
        <w:rPr>
          <w:rFonts w:asciiTheme="minorHAnsi" w:hAnsiTheme="minorHAnsi" w:cstheme="minorHAnsi"/>
        </w:rPr>
        <w:t>Barcelona</w:t>
      </w:r>
      <w:r w:rsidR="005D6C3B">
        <w:rPr>
          <w:rFonts w:asciiTheme="minorHAnsi" w:hAnsiTheme="minorHAnsi" w:cstheme="minorHAnsi"/>
        </w:rPr>
        <w:t xml:space="preserve"> -</w:t>
      </w:r>
      <w:proofErr w:type="gramEnd"/>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28E2A13D"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6E13BC">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08FAE82C"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ve iptal sigortası </w:t>
      </w:r>
      <w:r w:rsidR="00F223ED">
        <w:rPr>
          <w:rFonts w:asciiTheme="minorHAnsi" w:hAnsiTheme="minorHAnsi" w:cstheme="minorHAnsi"/>
        </w:rPr>
        <w:t xml:space="preserve">(70 yaş ve üstü yolcular için sigorta </w:t>
      </w:r>
      <w:proofErr w:type="spellStart"/>
      <w:r w:rsidR="00F223ED">
        <w:rPr>
          <w:rFonts w:asciiTheme="minorHAnsi" w:hAnsiTheme="minorHAnsi" w:cstheme="minorHAnsi"/>
        </w:rPr>
        <w:t>sürprimi</w:t>
      </w:r>
      <w:proofErr w:type="spellEnd"/>
      <w:r w:rsidR="00F223ED">
        <w:rPr>
          <w:rFonts w:asciiTheme="minorHAnsi" w:hAnsiTheme="minorHAnsi" w:cstheme="minorHAnsi"/>
        </w:rPr>
        <w:t xml:space="preserve">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6392422D"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547B77F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B8A79A3" w14:textId="77777777" w:rsidR="006E13BC" w:rsidRDefault="006E13BC" w:rsidP="006C2B48">
      <w:pPr>
        <w:autoSpaceDE w:val="0"/>
        <w:autoSpaceDN w:val="0"/>
        <w:rPr>
          <w:rFonts w:asciiTheme="minorHAnsi" w:hAnsiTheme="minorHAnsi" w:cstheme="minorHAnsi"/>
          <w:bCs/>
        </w:rPr>
      </w:pPr>
    </w:p>
    <w:p w14:paraId="71EB65C8" w14:textId="77777777" w:rsidR="006E13BC" w:rsidRDefault="006E13BC" w:rsidP="006C2B48">
      <w:pPr>
        <w:autoSpaceDE w:val="0"/>
        <w:autoSpaceDN w:val="0"/>
        <w:rPr>
          <w:rFonts w:asciiTheme="minorHAnsi" w:hAnsiTheme="minorHAnsi" w:cstheme="minorHAnsi"/>
          <w:bCs/>
        </w:rPr>
      </w:pPr>
    </w:p>
    <w:p w14:paraId="62291725" w14:textId="77777777" w:rsidR="006E13BC" w:rsidRDefault="006E13BC"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A5BB200"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1135</Words>
  <Characters>7639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8757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152</cp:revision>
  <cp:lastPrinted>2019-04-29T13:44:00Z</cp:lastPrinted>
  <dcterms:created xsi:type="dcterms:W3CDTF">2022-12-05T08:27:00Z</dcterms:created>
  <dcterms:modified xsi:type="dcterms:W3CDTF">2023-05-29T13:13:00Z</dcterms:modified>
</cp:coreProperties>
</file>